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2673" w:rsidRDefault="0030541D" w:rsidP="008F661F">
      <w:pPr>
        <w:pStyle w:val="Heading2"/>
        <w:jc w:val="center"/>
        <w:rPr>
          <w:b/>
          <w:u w:val="none"/>
        </w:rPr>
      </w:pPr>
      <w:r>
        <w:rPr>
          <w:b/>
          <w:u w:val="none"/>
        </w:rPr>
        <w:t>Philosophy of Language 2020–21</w:t>
      </w:r>
    </w:p>
    <w:p w:rsidR="005B2673" w:rsidRDefault="005B2673" w:rsidP="008F661F">
      <w:pPr>
        <w:jc w:val="center"/>
      </w:pPr>
    </w:p>
    <w:p w:rsidR="005B2673" w:rsidRDefault="0030541D" w:rsidP="008F661F">
      <w:pPr>
        <w:jc w:val="center"/>
        <w:rPr>
          <w:b/>
        </w:rPr>
      </w:pPr>
      <w:r>
        <w:rPr>
          <w:b/>
        </w:rPr>
        <w:t>Text accompanying l</w:t>
      </w:r>
      <w:r w:rsidR="00863A5B">
        <w:rPr>
          <w:b/>
        </w:rPr>
        <w:t xml:space="preserve">ecture </w:t>
      </w:r>
      <w:r>
        <w:rPr>
          <w:b/>
        </w:rPr>
        <w:t>3</w:t>
      </w:r>
    </w:p>
    <w:p w:rsidR="005B2673" w:rsidRDefault="005B2673" w:rsidP="008F661F">
      <w:pPr>
        <w:jc w:val="center"/>
      </w:pPr>
    </w:p>
    <w:p w:rsidR="005B2673" w:rsidRPr="0030541D" w:rsidRDefault="0030541D" w:rsidP="008F661F">
      <w:pPr>
        <w:jc w:val="center"/>
        <w:rPr>
          <w:b/>
        </w:rPr>
      </w:pPr>
      <w:r w:rsidRPr="0030541D">
        <w:rPr>
          <w:b/>
        </w:rPr>
        <w:t>Theories of Meaning</w:t>
      </w:r>
    </w:p>
    <w:p w:rsidR="005B2673" w:rsidRDefault="005B2673" w:rsidP="008F661F">
      <w:pPr>
        <w:pStyle w:val="Heading2"/>
        <w:jc w:val="both"/>
      </w:pPr>
    </w:p>
    <w:p w:rsidR="00FC5D00" w:rsidRPr="0030541D" w:rsidRDefault="00FC5D00" w:rsidP="008F661F">
      <w:pPr>
        <w:jc w:val="both"/>
        <w:rPr>
          <w:b/>
        </w:rPr>
      </w:pPr>
      <w:r>
        <w:t xml:space="preserve">A principal aim of modern, post-Fregean philosophy of language is to give a </w:t>
      </w:r>
      <w:r>
        <w:rPr>
          <w:i/>
        </w:rPr>
        <w:t>systematic</w:t>
      </w:r>
      <w:r>
        <w:t xml:space="preserve"> account of meaning. </w:t>
      </w:r>
      <w:r w:rsidR="0030541D">
        <w:t>As we have seen, t</w:t>
      </w:r>
      <w:r>
        <w:t>hree</w:t>
      </w:r>
      <w:r w:rsidRPr="00FC5D00">
        <w:t xml:space="preserve"> fundamental principles</w:t>
      </w:r>
      <w:r w:rsidR="0030541D">
        <w:t xml:space="preserve"> of</w:t>
      </w:r>
      <w:r w:rsidRPr="00FC5D00">
        <w:t xml:space="preserve"> </w:t>
      </w:r>
      <w:r>
        <w:t xml:space="preserve">modern </w:t>
      </w:r>
      <w:r w:rsidR="0030541D">
        <w:t xml:space="preserve">post-Fregean </w:t>
      </w:r>
      <w:r>
        <w:t xml:space="preserve">philosophy of language </w:t>
      </w:r>
      <w:r w:rsidRPr="00FC5D00">
        <w:t>are:</w:t>
      </w:r>
    </w:p>
    <w:p w:rsidR="00FC5D00" w:rsidRDefault="00FC5D00" w:rsidP="00FC5D00">
      <w:pPr>
        <w:jc w:val="both"/>
        <w:rPr>
          <w:b/>
        </w:rPr>
      </w:pPr>
    </w:p>
    <w:p w:rsidR="00FC5D00" w:rsidRDefault="00FC5D00" w:rsidP="00FC5D00">
      <w:pPr>
        <w:jc w:val="both"/>
      </w:pPr>
      <w:r>
        <w:rPr>
          <w:b/>
        </w:rPr>
        <w:t>CONTEXT PRINCIPLE</w:t>
      </w:r>
      <w:r>
        <w:t xml:space="preserve">: a word has meaning only in the context of a sentence. </w:t>
      </w:r>
    </w:p>
    <w:p w:rsidR="00FC5D00" w:rsidRDefault="00FC5D00" w:rsidP="008F661F">
      <w:pPr>
        <w:jc w:val="both"/>
        <w:rPr>
          <w:b/>
        </w:rPr>
      </w:pPr>
    </w:p>
    <w:p w:rsidR="00C17A67" w:rsidRDefault="00FC5D00" w:rsidP="008F661F">
      <w:pPr>
        <w:jc w:val="both"/>
      </w:pPr>
      <w:r>
        <w:rPr>
          <w:b/>
        </w:rPr>
        <w:t xml:space="preserve">PRINCIPLE OF </w:t>
      </w:r>
      <w:r w:rsidR="00C17A67" w:rsidRPr="00C17A67">
        <w:rPr>
          <w:b/>
        </w:rPr>
        <w:t>COMPOSITION</w:t>
      </w:r>
      <w:r>
        <w:rPr>
          <w:b/>
        </w:rPr>
        <w:t>ITY</w:t>
      </w:r>
      <w:r w:rsidR="00C17A67">
        <w:t>: Barring a finite number of exceptions (‘idioms’), the meaning of a complex linguistic expression is a function of the meanings of its semantically significant parts (principally, words) and the way they are combined.</w:t>
      </w:r>
    </w:p>
    <w:p w:rsidR="00FC5D00" w:rsidRDefault="00FC5D00" w:rsidP="008F661F">
      <w:pPr>
        <w:jc w:val="both"/>
        <w:rPr>
          <w:b/>
        </w:rPr>
      </w:pPr>
    </w:p>
    <w:p w:rsidR="005B2673" w:rsidRDefault="00FC5D00" w:rsidP="008F661F">
      <w:pPr>
        <w:jc w:val="both"/>
      </w:pPr>
      <w:r>
        <w:rPr>
          <w:b/>
        </w:rPr>
        <w:t>CREATIVITY OF LANGUAGE</w:t>
      </w:r>
      <w:r>
        <w:t xml:space="preserve">: we can use (and understand) language </w:t>
      </w:r>
      <w:r>
        <w:rPr>
          <w:i/>
        </w:rPr>
        <w:t>creatively</w:t>
      </w:r>
      <w:r>
        <w:t xml:space="preserve">, that is, we can produce (and understand) </w:t>
      </w:r>
      <w:r>
        <w:rPr>
          <w:i/>
        </w:rPr>
        <w:t>new</w:t>
      </w:r>
      <w:r>
        <w:t xml:space="preserve"> sentences on the basis of having learnt the meanings of the components (and acceptable modes of composition), rather than by having been specifically drilled in the meaning of those new sentences.</w:t>
      </w:r>
      <w:r>
        <w:rPr>
          <w:rStyle w:val="FootnoteReference"/>
        </w:rPr>
        <w:footnoteReference w:id="1"/>
      </w:r>
      <w:r>
        <w:t xml:space="preserve"> And </w:t>
      </w:r>
      <w:r w:rsidR="005B2673">
        <w:t xml:space="preserve">natural languages are </w:t>
      </w:r>
      <w:r w:rsidR="006F116D">
        <w:t>learn</w:t>
      </w:r>
      <w:r w:rsidR="005B2673">
        <w:t xml:space="preserve">able in a way which permits the </w:t>
      </w:r>
      <w:r w:rsidR="006F116D">
        <w:t>learn</w:t>
      </w:r>
      <w:r w:rsidR="005B2673">
        <w:t xml:space="preserve">er to predict the meanings of so far </w:t>
      </w:r>
      <w:proofErr w:type="spellStart"/>
      <w:r w:rsidR="005B2673">
        <w:t>unencountered</w:t>
      </w:r>
      <w:proofErr w:type="spellEnd"/>
      <w:r w:rsidR="005B2673">
        <w:t xml:space="preserve"> complex expressions, on the basis of familiarity with the meanings of their components and the way they are put together.</w:t>
      </w:r>
      <w:r w:rsidR="00D027BF">
        <w:t xml:space="preserve"> As can be seen from this formulation, this principle relies on </w:t>
      </w:r>
      <w:r w:rsidR="00D027BF" w:rsidRPr="00D027BF">
        <w:rPr>
          <w:b/>
        </w:rPr>
        <w:t>COMPOSITION</w:t>
      </w:r>
      <w:r w:rsidR="00D027BF">
        <w:t>.</w:t>
      </w:r>
    </w:p>
    <w:p w:rsidR="005B2673" w:rsidRDefault="005B2673" w:rsidP="008F661F">
      <w:pPr>
        <w:jc w:val="both"/>
      </w:pPr>
    </w:p>
    <w:p w:rsidR="005B2673" w:rsidRDefault="005B2673" w:rsidP="008F661F">
      <w:pPr>
        <w:jc w:val="both"/>
      </w:pPr>
      <w:r>
        <w:t xml:space="preserve">Given </w:t>
      </w:r>
      <w:r w:rsidR="00D027BF" w:rsidRPr="00D027BF">
        <w:rPr>
          <w:b/>
        </w:rPr>
        <w:t>COMPOSITION</w:t>
      </w:r>
      <w:r w:rsidR="00FC5D00">
        <w:rPr>
          <w:b/>
        </w:rPr>
        <w:t>ALITY</w:t>
      </w:r>
      <w:r w:rsidR="00D027BF" w:rsidRPr="00D027BF">
        <w:t xml:space="preserve"> and </w:t>
      </w:r>
      <w:r w:rsidR="006F116D">
        <w:rPr>
          <w:b/>
        </w:rPr>
        <w:t>CREATIVITY</w:t>
      </w:r>
      <w:r>
        <w:t xml:space="preserve">, it ought to be possible to model our linguistic ability in a theory which tells </w:t>
      </w:r>
      <w:proofErr w:type="gramStart"/>
      <w:r>
        <w:t>us</w:t>
      </w:r>
      <w:proofErr w:type="gramEnd"/>
      <w:r>
        <w:t xml:space="preserve"> what the basic components of a language mean, and how those components may be legitimately combined to form larger units of meanings. In order to model speakers’ capacities to understand new sentences on the basi</w:t>
      </w:r>
      <w:r w:rsidR="006F116D">
        <w:t>s of their understanding those</w:t>
      </w:r>
      <w:r>
        <w:t xml:space="preserve"> sentences’ (old) components and (familiar) modes of composition, the theory will be </w:t>
      </w:r>
      <w:r>
        <w:rPr>
          <w:i/>
        </w:rPr>
        <w:t>recursive</w:t>
      </w:r>
      <w:r>
        <w:t xml:space="preserve">: that is, it will not state the meanings of each sentence separately, but </w:t>
      </w:r>
      <w:r w:rsidR="006F116D">
        <w:t xml:space="preserve">will comprise a set of basic axioms </w:t>
      </w:r>
      <w:r w:rsidR="00106615">
        <w:t xml:space="preserve">and rules of composition </w:t>
      </w:r>
      <w:r w:rsidR="006F116D">
        <w:t xml:space="preserve">which </w:t>
      </w:r>
      <w:r w:rsidR="00106615">
        <w:t>allow</w:t>
      </w:r>
      <w:r w:rsidR="006F116D">
        <w:t xml:space="preserve"> us to </w:t>
      </w:r>
      <w:r>
        <w:rPr>
          <w:i/>
        </w:rPr>
        <w:t>derive</w:t>
      </w:r>
      <w:r>
        <w:t xml:space="preserve"> the meaning</w:t>
      </w:r>
      <w:r w:rsidR="006F116D">
        <w:t>s</w:t>
      </w:r>
      <w:r>
        <w:t xml:space="preserve"> of all sentences from the meanings of their parts and their mode of composition. In that respect such a systematic theory will differ from a mere translation manual which simply lists input sentences of a given language and specifies their meanings one by one, without discerning structure within those input sentences or drawing attention to their common features.</w:t>
      </w:r>
      <w:r>
        <w:rPr>
          <w:rStyle w:val="FootnoteReference"/>
        </w:rPr>
        <w:footnoteReference w:id="2"/>
      </w:r>
      <w:r>
        <w:t xml:space="preserve"> Let us see in more detail how this sort of systematic theory is supposed to work.</w:t>
      </w:r>
    </w:p>
    <w:p w:rsidR="005B2673" w:rsidRDefault="005B2673" w:rsidP="008F661F">
      <w:pPr>
        <w:jc w:val="both"/>
      </w:pPr>
    </w:p>
    <w:p w:rsidR="005B2673" w:rsidRDefault="005B2673" w:rsidP="008F661F">
      <w:pPr>
        <w:jc w:val="both"/>
      </w:pPr>
      <w:r>
        <w:rPr>
          <w:u w:val="single"/>
        </w:rPr>
        <w:t>Systematic Theories of Meaning</w:t>
      </w:r>
      <w:r w:rsidR="00106615">
        <w:rPr>
          <w:u w:val="single"/>
        </w:rPr>
        <w:t>: the form of the theorems</w:t>
      </w:r>
    </w:p>
    <w:p w:rsidR="005B2673" w:rsidRDefault="005B2673" w:rsidP="008F661F">
      <w:pPr>
        <w:jc w:val="both"/>
      </w:pPr>
      <w:r>
        <w:t>A systematic theory of meaning or semantic theory for a language is a theory which entails, for each input sentence, a theorem stating the meaning of that sentence, either in the same language or another language. That is, each theorem will have the general form</w:t>
      </w:r>
    </w:p>
    <w:p w:rsidR="005B2673" w:rsidRDefault="005B2673" w:rsidP="008F661F">
      <w:pPr>
        <w:jc w:val="both"/>
      </w:pPr>
    </w:p>
    <w:p w:rsidR="005B2673" w:rsidRDefault="005B2673" w:rsidP="008F661F">
      <w:pPr>
        <w:jc w:val="both"/>
        <w:rPr>
          <w:i/>
        </w:rPr>
      </w:pPr>
      <w:r>
        <w:tab/>
      </w:r>
      <w:r w:rsidR="006F116D">
        <w:t xml:space="preserve">(1) </w:t>
      </w:r>
      <w:r>
        <w:rPr>
          <w:i/>
        </w:rPr>
        <w:t>S</w:t>
      </w:r>
      <w:r>
        <w:t xml:space="preserve"> means that </w:t>
      </w:r>
      <w:r>
        <w:rPr>
          <w:i/>
        </w:rPr>
        <w:t>p</w:t>
      </w:r>
    </w:p>
    <w:p w:rsidR="005B2673" w:rsidRDefault="005B2673" w:rsidP="008F661F">
      <w:pPr>
        <w:jc w:val="both"/>
        <w:rPr>
          <w:i/>
        </w:rPr>
      </w:pPr>
    </w:p>
    <w:p w:rsidR="005B2673" w:rsidRDefault="005B2673" w:rsidP="008F661F">
      <w:pPr>
        <w:jc w:val="both"/>
      </w:pPr>
      <w:r>
        <w:t>where ‘</w:t>
      </w:r>
      <w:r>
        <w:rPr>
          <w:i/>
        </w:rPr>
        <w:t>S</w:t>
      </w:r>
      <w:r>
        <w:t xml:space="preserve">’ names an input sentence from the </w:t>
      </w:r>
      <w:r>
        <w:rPr>
          <w:i/>
        </w:rPr>
        <w:t xml:space="preserve">object language </w:t>
      </w:r>
      <w:r>
        <w:t>and ‘</w:t>
      </w:r>
      <w:r>
        <w:rPr>
          <w:i/>
        </w:rPr>
        <w:t>p</w:t>
      </w:r>
      <w:r>
        <w:t xml:space="preserve">’ holds place for an output sentence of the </w:t>
      </w:r>
      <w:r>
        <w:rPr>
          <w:i/>
        </w:rPr>
        <w:t>metalanguage</w:t>
      </w:r>
      <w:r>
        <w:t xml:space="preserve">. Notice that while on the left-hand side of this theorem we </w:t>
      </w:r>
      <w:r>
        <w:rPr>
          <w:i/>
        </w:rPr>
        <w:t>name</w:t>
      </w:r>
      <w:r>
        <w:t xml:space="preserve"> an input sentence, on the right-hand we do not name an output sentence, but </w:t>
      </w:r>
      <w:r>
        <w:rPr>
          <w:i/>
        </w:rPr>
        <w:t xml:space="preserve">use </w:t>
      </w:r>
      <w:r>
        <w:t xml:space="preserve">it. The distinction between mention and use (as it is somewhat misleadingly called) is crucial here: it stops such theorems being trivial. For example, suppose we decide to give a theory of meaning for English </w:t>
      </w:r>
      <w:r>
        <w:rPr>
          <w:i/>
        </w:rPr>
        <w:t>in English</w:t>
      </w:r>
      <w:r>
        <w:t xml:space="preserve">. (Since the metalanguage is the same as the object language, such a theory is called a </w:t>
      </w:r>
      <w:r>
        <w:rPr>
          <w:i/>
        </w:rPr>
        <w:t>homophonic</w:t>
      </w:r>
      <w:r>
        <w:t xml:space="preserve"> theory; where the metalanguage is different, we have a </w:t>
      </w:r>
      <w:r>
        <w:rPr>
          <w:i/>
        </w:rPr>
        <w:t>heterophonic</w:t>
      </w:r>
      <w:r>
        <w:t xml:space="preserve"> theory of meaning.) One theorem delivered by such a theory will be:</w:t>
      </w:r>
    </w:p>
    <w:p w:rsidR="005B2673" w:rsidRDefault="005B2673" w:rsidP="008F661F">
      <w:pPr>
        <w:jc w:val="both"/>
      </w:pPr>
    </w:p>
    <w:p w:rsidR="005B2673" w:rsidRDefault="006F116D" w:rsidP="008F661F">
      <w:pPr>
        <w:jc w:val="both"/>
      </w:pPr>
      <w:r>
        <w:tab/>
        <w:t>(2</w:t>
      </w:r>
      <w:r w:rsidR="005B2673">
        <w:t>) ‘Snow is white’ means that snow is white.</w:t>
      </w:r>
    </w:p>
    <w:p w:rsidR="005B2673" w:rsidRDefault="005B2673" w:rsidP="008F661F">
      <w:pPr>
        <w:jc w:val="both"/>
      </w:pPr>
    </w:p>
    <w:p w:rsidR="005B2673" w:rsidRDefault="005B2673" w:rsidP="008F661F">
      <w:pPr>
        <w:jc w:val="both"/>
      </w:pPr>
      <w:r>
        <w:t>Now this might look trivial. But it is not, precisely because the sentence ‘snow is white’ is mentioned (i.e., named) on the left-hand side of the theorem, but</w:t>
      </w:r>
      <w:r w:rsidR="006F116D">
        <w:t xml:space="preserve"> used on the right-hand side. (2</w:t>
      </w:r>
      <w:r>
        <w:t xml:space="preserve">) </w:t>
      </w:r>
      <w:proofErr w:type="gramStart"/>
      <w:r>
        <w:t>states</w:t>
      </w:r>
      <w:proofErr w:type="gramEnd"/>
      <w:r>
        <w:t xml:space="preserve"> a fully contingent fact about an English sentence; it is a contingent fact which non-speakers of English do not know, which has to be </w:t>
      </w:r>
      <w:r w:rsidR="006F116D">
        <w:t>learn</w:t>
      </w:r>
      <w:r>
        <w:t xml:space="preserve">ed by those wishing to command the language, and which can be forgotten again. It is perhaps initially easier to see that the theorems delivered by a </w:t>
      </w:r>
      <w:r>
        <w:rPr>
          <w:i/>
        </w:rPr>
        <w:t>heterophonic</w:t>
      </w:r>
      <w:r>
        <w:t xml:space="preserve"> theory of meaning are non-trivial, such as</w:t>
      </w:r>
    </w:p>
    <w:p w:rsidR="005B2673" w:rsidRDefault="005B2673" w:rsidP="008F661F">
      <w:pPr>
        <w:jc w:val="both"/>
      </w:pPr>
    </w:p>
    <w:p w:rsidR="005B2673" w:rsidRDefault="006F116D" w:rsidP="008F661F">
      <w:pPr>
        <w:jc w:val="both"/>
      </w:pPr>
      <w:r>
        <w:tab/>
        <w:t>(3</w:t>
      </w:r>
      <w:r w:rsidR="005B2673">
        <w:t>) ‘Schnee ist weiß’ means that snow is white,</w:t>
      </w:r>
    </w:p>
    <w:p w:rsidR="005B2673" w:rsidRDefault="005B2673" w:rsidP="008F661F">
      <w:pPr>
        <w:jc w:val="both"/>
      </w:pPr>
    </w:p>
    <w:p w:rsidR="005B2673" w:rsidRDefault="006F116D" w:rsidP="008F661F">
      <w:pPr>
        <w:jc w:val="both"/>
      </w:pPr>
      <w:proofErr w:type="gramStart"/>
      <w:r>
        <w:t>given</w:t>
      </w:r>
      <w:proofErr w:type="gramEnd"/>
      <w:r>
        <w:t xml:space="preserve"> that (3</w:t>
      </w:r>
      <w:r w:rsidR="005B2673">
        <w:t xml:space="preserve">) quite plainly records a contingent, </w:t>
      </w:r>
      <w:r>
        <w:t>learn</w:t>
      </w:r>
      <w:r w:rsidR="005B2673">
        <w:t>able and forgettable fact about German; but in fact there is no diffe</w:t>
      </w:r>
      <w:r>
        <w:t>rence in this respect between (2) and (3). (2</w:t>
      </w:r>
      <w:r w:rsidR="005B2673">
        <w:t xml:space="preserve">) </w:t>
      </w:r>
      <w:proofErr w:type="gramStart"/>
      <w:r w:rsidR="005B2673">
        <w:t>simply</w:t>
      </w:r>
      <w:proofErr w:type="gramEnd"/>
      <w:r w:rsidR="005B2673">
        <w:t xml:space="preserve"> tells us in English what the </w:t>
      </w:r>
      <w:r>
        <w:t>learn</w:t>
      </w:r>
      <w:r w:rsidR="005B2673">
        <w:t>able and forgettable fact is, but it is just as non-trivial as a theorem which did this in German, i.e.</w:t>
      </w:r>
    </w:p>
    <w:p w:rsidR="005B2673" w:rsidRDefault="005B2673" w:rsidP="008F661F">
      <w:pPr>
        <w:jc w:val="both"/>
      </w:pPr>
    </w:p>
    <w:p w:rsidR="005B2673" w:rsidRPr="003044DE" w:rsidRDefault="006F116D" w:rsidP="008F661F">
      <w:pPr>
        <w:jc w:val="both"/>
        <w:rPr>
          <w:lang w:val="de-DE"/>
        </w:rPr>
      </w:pPr>
      <w:r>
        <w:tab/>
      </w:r>
      <w:r w:rsidRPr="003044DE">
        <w:rPr>
          <w:lang w:val="de-DE"/>
        </w:rPr>
        <w:t>(4</w:t>
      </w:r>
      <w:r w:rsidR="005B2673" w:rsidRPr="003044DE">
        <w:rPr>
          <w:lang w:val="de-DE"/>
        </w:rPr>
        <w:t>) ‘Snow is white’ bedeutet, dass Schnee weiß ist.</w:t>
      </w:r>
    </w:p>
    <w:p w:rsidR="005B2673" w:rsidRPr="003044DE" w:rsidRDefault="005B2673" w:rsidP="008F661F">
      <w:pPr>
        <w:jc w:val="both"/>
        <w:rPr>
          <w:lang w:val="de-DE"/>
        </w:rPr>
      </w:pPr>
    </w:p>
    <w:p w:rsidR="006F116D" w:rsidRDefault="006F116D" w:rsidP="008F661F">
      <w:pPr>
        <w:jc w:val="both"/>
      </w:pPr>
      <w:r>
        <w:t>Contrast a case where the relevant sentence is mentioned on both sides of the theorem:</w:t>
      </w:r>
    </w:p>
    <w:p w:rsidR="006F116D" w:rsidRDefault="006F116D" w:rsidP="008F661F">
      <w:pPr>
        <w:jc w:val="both"/>
      </w:pPr>
    </w:p>
    <w:p w:rsidR="006F116D" w:rsidRDefault="00A906D2" w:rsidP="008F661F">
      <w:pPr>
        <w:jc w:val="both"/>
      </w:pPr>
      <w:r>
        <w:tab/>
        <w:t>(5) ‘Snow is whi</w:t>
      </w:r>
      <w:r w:rsidR="006F116D">
        <w:t>t</w:t>
      </w:r>
      <w:r>
        <w:t>e</w:t>
      </w:r>
      <w:r w:rsidR="006F116D">
        <w:t>’ means the same as ‘snow is white’.</w:t>
      </w:r>
    </w:p>
    <w:p w:rsidR="006F116D" w:rsidRDefault="006F116D" w:rsidP="008F661F">
      <w:pPr>
        <w:jc w:val="both"/>
      </w:pPr>
    </w:p>
    <w:p w:rsidR="006F116D" w:rsidRDefault="006F116D" w:rsidP="008F661F">
      <w:pPr>
        <w:jc w:val="both"/>
      </w:pPr>
      <w:r>
        <w:t xml:space="preserve">This is </w:t>
      </w:r>
      <w:r w:rsidR="00075A56">
        <w:t xml:space="preserve">(almost) </w:t>
      </w:r>
      <w:r>
        <w:t xml:space="preserve">trivial: it could be known by someone who did not know what that sentence meant, unlike (2), which could not. </w:t>
      </w:r>
      <w:r w:rsidR="00075A56">
        <w:t xml:space="preserve">(Only ‘almost’ trivial, because you would have to know that Snow is white’ was a meaningful English sentence in order to know that (5) was true.) </w:t>
      </w:r>
      <w:r>
        <w:t>Take a heterophonic case of (5):</w:t>
      </w:r>
    </w:p>
    <w:p w:rsidR="006F116D" w:rsidRDefault="006F116D" w:rsidP="008F661F">
      <w:pPr>
        <w:jc w:val="both"/>
      </w:pPr>
    </w:p>
    <w:p w:rsidR="006F116D" w:rsidRDefault="006F116D" w:rsidP="008F661F">
      <w:pPr>
        <w:jc w:val="both"/>
      </w:pPr>
      <w:r>
        <w:tab/>
        <w:t>(6) ‘</w:t>
      </w:r>
      <w:r w:rsidR="005E65F7">
        <w:t xml:space="preserve">La </w:t>
      </w:r>
      <w:proofErr w:type="spellStart"/>
      <w:r w:rsidR="005E65F7">
        <w:t>neige</w:t>
      </w:r>
      <w:proofErr w:type="spellEnd"/>
      <w:r w:rsidR="005E65F7">
        <w:t xml:space="preserve"> </w:t>
      </w:r>
      <w:proofErr w:type="spellStart"/>
      <w:proofErr w:type="gramStart"/>
      <w:r w:rsidR="005E65F7">
        <w:t>est</w:t>
      </w:r>
      <w:proofErr w:type="spellEnd"/>
      <w:proofErr w:type="gramEnd"/>
      <w:r w:rsidR="005E65F7">
        <w:t xml:space="preserve"> blanche</w:t>
      </w:r>
      <w:r w:rsidR="00106615">
        <w:t>’</w:t>
      </w:r>
      <w:r>
        <w:t xml:space="preserve"> means the same as ‘Schnee ist weiß’.</w:t>
      </w:r>
    </w:p>
    <w:p w:rsidR="006F116D" w:rsidRDefault="006F116D" w:rsidP="008F661F">
      <w:pPr>
        <w:jc w:val="both"/>
      </w:pPr>
    </w:p>
    <w:p w:rsidR="006F116D" w:rsidRDefault="006F116D" w:rsidP="008F661F">
      <w:pPr>
        <w:jc w:val="both"/>
      </w:pPr>
      <w:r>
        <w:t xml:space="preserve">This is not trivial: it is a substantial fact connecting sentences of two different languages. But it does not tell us what either sentence means, and again it could be known to be true </w:t>
      </w:r>
      <w:r w:rsidR="005E65F7">
        <w:t xml:space="preserve">(because heard on good authority: knowledge by testimony) </w:t>
      </w:r>
      <w:r>
        <w:t xml:space="preserve">by someone who did not understand a word of either </w:t>
      </w:r>
      <w:r w:rsidR="005E65F7">
        <w:t>French or German.</w:t>
      </w:r>
    </w:p>
    <w:p w:rsidR="006F116D" w:rsidRDefault="006F116D" w:rsidP="008F661F">
      <w:pPr>
        <w:jc w:val="both"/>
      </w:pPr>
    </w:p>
    <w:p w:rsidR="00106615" w:rsidRDefault="00106615" w:rsidP="008F661F">
      <w:pPr>
        <w:jc w:val="both"/>
      </w:pPr>
      <w:r>
        <w:rPr>
          <w:u w:val="single"/>
        </w:rPr>
        <w:t>Systematic Theories of Meaning: the appeal to structure</w:t>
      </w:r>
    </w:p>
    <w:p w:rsidR="005B2673" w:rsidRDefault="005B2673" w:rsidP="008F661F">
      <w:pPr>
        <w:jc w:val="both"/>
      </w:pPr>
      <w:r>
        <w:t xml:space="preserve">Now, as we have indicated, it is plausible that a systematic theory of meaning for a language will be obliged to go beyond a mere translation manual by discerning structure in the input sentences. Otherwise, it will not enable us to model creative </w:t>
      </w:r>
      <w:r>
        <w:lastRenderedPageBreak/>
        <w:t>language use. For example, suppose we find that speakers who are trained in the meaning of</w:t>
      </w:r>
    </w:p>
    <w:p w:rsidR="005B2673" w:rsidRDefault="005B2673" w:rsidP="008F661F">
      <w:pPr>
        <w:jc w:val="both"/>
      </w:pPr>
    </w:p>
    <w:p w:rsidR="005B2673" w:rsidRDefault="00106615" w:rsidP="008F661F">
      <w:pPr>
        <w:jc w:val="both"/>
      </w:pPr>
      <w:r>
        <w:tab/>
        <w:t>(7</w:t>
      </w:r>
      <w:r w:rsidR="005B2673">
        <w:t>) John is happy</w:t>
      </w:r>
    </w:p>
    <w:p w:rsidR="005B2673" w:rsidRDefault="005B2673" w:rsidP="008F661F">
      <w:pPr>
        <w:jc w:val="both"/>
      </w:pPr>
    </w:p>
    <w:p w:rsidR="005B2673" w:rsidRDefault="005B2673" w:rsidP="008F661F">
      <w:pPr>
        <w:jc w:val="both"/>
      </w:pPr>
      <w:proofErr w:type="gramStart"/>
      <w:r>
        <w:t>and</w:t>
      </w:r>
      <w:proofErr w:type="gramEnd"/>
    </w:p>
    <w:p w:rsidR="005B2673" w:rsidRDefault="005B2673" w:rsidP="008F661F">
      <w:pPr>
        <w:jc w:val="both"/>
      </w:pPr>
    </w:p>
    <w:p w:rsidR="005B2673" w:rsidRDefault="00106615" w:rsidP="008F661F">
      <w:pPr>
        <w:jc w:val="both"/>
      </w:pPr>
      <w:r>
        <w:tab/>
        <w:t>(8</w:t>
      </w:r>
      <w:r w:rsidR="005B2673">
        <w:t>) Jane is hungry</w:t>
      </w:r>
    </w:p>
    <w:p w:rsidR="005B2673" w:rsidRDefault="005B2673" w:rsidP="008F661F">
      <w:pPr>
        <w:jc w:val="both"/>
      </w:pPr>
    </w:p>
    <w:p w:rsidR="005B2673" w:rsidRDefault="005B2673" w:rsidP="008F661F">
      <w:pPr>
        <w:jc w:val="both"/>
      </w:pPr>
      <w:proofErr w:type="gramStart"/>
      <w:r>
        <w:t>are</w:t>
      </w:r>
      <w:proofErr w:type="gramEnd"/>
      <w:r>
        <w:t xml:space="preserve"> able, without further training, to understand</w:t>
      </w:r>
    </w:p>
    <w:p w:rsidR="005B2673" w:rsidRDefault="005B2673" w:rsidP="008F661F">
      <w:pPr>
        <w:jc w:val="both"/>
      </w:pPr>
    </w:p>
    <w:p w:rsidR="005B2673" w:rsidRDefault="00106615" w:rsidP="008F661F">
      <w:pPr>
        <w:jc w:val="both"/>
      </w:pPr>
      <w:r>
        <w:tab/>
        <w:t>(9</w:t>
      </w:r>
      <w:r w:rsidR="005B2673">
        <w:t>) Jane is happy</w:t>
      </w:r>
    </w:p>
    <w:p w:rsidR="005B2673" w:rsidRDefault="005B2673" w:rsidP="008F661F">
      <w:pPr>
        <w:jc w:val="both"/>
      </w:pPr>
    </w:p>
    <w:p w:rsidR="005B2673" w:rsidRDefault="005B2673" w:rsidP="008F661F">
      <w:pPr>
        <w:jc w:val="both"/>
      </w:pPr>
      <w:proofErr w:type="gramStart"/>
      <w:r>
        <w:t>and</w:t>
      </w:r>
      <w:proofErr w:type="gramEnd"/>
      <w:r>
        <w:t xml:space="preserve"> </w:t>
      </w:r>
    </w:p>
    <w:p w:rsidR="005B2673" w:rsidRDefault="005B2673" w:rsidP="008F661F">
      <w:pPr>
        <w:ind w:firstLine="720"/>
        <w:jc w:val="both"/>
      </w:pPr>
    </w:p>
    <w:p w:rsidR="005B2673" w:rsidRDefault="00106615" w:rsidP="008F661F">
      <w:pPr>
        <w:ind w:firstLine="720"/>
        <w:jc w:val="both"/>
      </w:pPr>
      <w:r>
        <w:t>(10</w:t>
      </w:r>
      <w:r w:rsidR="005B2673">
        <w:t>) John is hungry.</w:t>
      </w:r>
    </w:p>
    <w:p w:rsidR="005B2673" w:rsidRDefault="005B2673" w:rsidP="008F661F">
      <w:pPr>
        <w:jc w:val="both"/>
      </w:pPr>
    </w:p>
    <w:p w:rsidR="005B2673" w:rsidRDefault="005B2673" w:rsidP="008F661F">
      <w:pPr>
        <w:jc w:val="both"/>
      </w:pPr>
      <w:r>
        <w:t>Surely they can only do this if they themselves operate with a (no doubt tacit)</w:t>
      </w:r>
      <w:r>
        <w:rPr>
          <w:rStyle w:val="FootnoteReference"/>
        </w:rPr>
        <w:footnoteReference w:id="3"/>
      </w:r>
      <w:r>
        <w:t xml:space="preserve"> theory of meaning which discerns structure within these sentences, assigns meanings to primitive components, and gives a general rule for composing a sentence out of components. A translation manual which simply assi</w:t>
      </w:r>
      <w:r w:rsidR="00106615">
        <w:t>gned unstructured meanings to (7) and (8</w:t>
      </w:r>
      <w:r>
        <w:t xml:space="preserve">) would be adequate for those </w:t>
      </w:r>
      <w:r w:rsidR="00AF1B08">
        <w:t xml:space="preserve">particular </w:t>
      </w:r>
      <w:r>
        <w:t>sentences, but it would not provide the resources to model the fac</w:t>
      </w:r>
      <w:r w:rsidR="00106615">
        <w:t>t that anyone who understands (7</w:t>
      </w:r>
      <w:r>
        <w:t>) and</w:t>
      </w:r>
      <w:r w:rsidR="00106615">
        <w:t xml:space="preserve"> (8</w:t>
      </w:r>
      <w:r>
        <w:t>) is t</w:t>
      </w:r>
      <w:r w:rsidR="00106615">
        <w:t>hereby equipped to understand (9) and (10</w:t>
      </w:r>
      <w:r>
        <w:t>), and so would not have the capacity to model our linguistic understanding. A theory of meaning, on the other hand, which provides primitive axioms for the names and predicates, and a general rule of sentence composition, will be equipped to discharge this task. What we need in this case are the axioms</w:t>
      </w:r>
    </w:p>
    <w:p w:rsidR="005B2673" w:rsidRDefault="005B2673" w:rsidP="008F661F">
      <w:pPr>
        <w:jc w:val="both"/>
      </w:pPr>
    </w:p>
    <w:p w:rsidR="005B2673" w:rsidRDefault="005B2673" w:rsidP="008F661F">
      <w:pPr>
        <w:jc w:val="both"/>
      </w:pPr>
      <w:r>
        <w:tab/>
        <w:t>(i) ‘John’ refers to John</w:t>
      </w:r>
    </w:p>
    <w:p w:rsidR="005B2673" w:rsidRDefault="005B2673" w:rsidP="008F661F">
      <w:pPr>
        <w:jc w:val="both"/>
      </w:pPr>
      <w:r>
        <w:tab/>
        <w:t>(ii) ‘Jane’ refers to Jane</w:t>
      </w:r>
    </w:p>
    <w:p w:rsidR="005B2673" w:rsidRDefault="005B2673" w:rsidP="008F661F">
      <w:pPr>
        <w:jc w:val="both"/>
      </w:pPr>
      <w:r>
        <w:tab/>
        <w:t>(iii) The predicate ‘is happy’ refers to the property of being happy</w:t>
      </w:r>
    </w:p>
    <w:p w:rsidR="005B2673" w:rsidRDefault="005B2673" w:rsidP="008F661F">
      <w:pPr>
        <w:jc w:val="both"/>
      </w:pPr>
      <w:r>
        <w:tab/>
      </w:r>
      <w:proofErr w:type="gramStart"/>
      <w:r>
        <w:t>(iv) The</w:t>
      </w:r>
      <w:proofErr w:type="gramEnd"/>
      <w:r>
        <w:t xml:space="preserve"> predicate ‘is hungry’ refers to the property of being hungry</w:t>
      </w:r>
    </w:p>
    <w:p w:rsidR="005B2673" w:rsidRDefault="005B2673" w:rsidP="008F661F">
      <w:pPr>
        <w:jc w:val="both"/>
      </w:pPr>
    </w:p>
    <w:p w:rsidR="005B2673" w:rsidRDefault="005B2673" w:rsidP="008F661F">
      <w:pPr>
        <w:jc w:val="both"/>
      </w:pPr>
      <w:proofErr w:type="gramStart"/>
      <w:r>
        <w:t>and</w:t>
      </w:r>
      <w:proofErr w:type="gramEnd"/>
      <w:r>
        <w:t xml:space="preserve"> the compositional rule</w:t>
      </w:r>
    </w:p>
    <w:p w:rsidR="005B2673" w:rsidRDefault="005B2673" w:rsidP="008F661F">
      <w:pPr>
        <w:jc w:val="both"/>
      </w:pPr>
    </w:p>
    <w:p w:rsidR="005B2673" w:rsidRDefault="005B2673" w:rsidP="008F661F">
      <w:pPr>
        <w:ind w:left="720"/>
        <w:jc w:val="both"/>
      </w:pPr>
      <w:r>
        <w:t xml:space="preserve">(C) A sentence concatenating a name with a predicate means that the object referred to by the name satisfies the property referred to by the predicate. </w:t>
      </w:r>
    </w:p>
    <w:p w:rsidR="005B2673" w:rsidRDefault="005B2673" w:rsidP="008F661F">
      <w:pPr>
        <w:jc w:val="both"/>
      </w:pPr>
    </w:p>
    <w:p w:rsidR="005B2673" w:rsidRDefault="00106615" w:rsidP="008F661F">
      <w:pPr>
        <w:jc w:val="both"/>
        <w:rPr>
          <w:szCs w:val="24"/>
        </w:rPr>
      </w:pPr>
      <w:r>
        <w:t>From these we can derive (7), (8</w:t>
      </w:r>
      <w:r w:rsidR="005B2673">
        <w:t>),</w:t>
      </w:r>
      <w:r>
        <w:t xml:space="preserve"> (9) and (10</w:t>
      </w:r>
      <w:r w:rsidR="005B2673">
        <w:t>) as theorems. (Note that Miller, in chs. 1 and 4, presents theories of meaning as taking the form of truth-theories: this is a standard approach, but it introduces complications and is not necessary to apprecia</w:t>
      </w:r>
      <w:r>
        <w:t>te the basic point at issue</w:t>
      </w:r>
      <w:r w:rsidR="005B2673">
        <w:t>; so I avoid it</w:t>
      </w:r>
      <w:r>
        <w:t xml:space="preserve"> here</w:t>
      </w:r>
      <w:r w:rsidR="005B2673">
        <w:t xml:space="preserve"> – we will come back to it later.) In this particular case, of course, a translation manual might look more economical than a theory of meaning, but if you think about the general case – giving the meanings of all the sentences (formed and unformed) for a language – you will see that the theory of meaning will win hands down on economy: for it will be able to generate an infinity of theorems on the basis of a (large but) finite stock of axioms and rules. If this is not </w:t>
      </w:r>
      <w:r w:rsidR="005B2673">
        <w:lastRenderedPageBreak/>
        <w:t xml:space="preserve">clear, think about an intermediate case. Suppose we have 10 basic names and 10 basic predicates. We can form 100 sentences from these. A translation manual, which </w:t>
      </w:r>
      <w:r w:rsidR="005B2673">
        <w:rPr>
          <w:szCs w:val="24"/>
        </w:rPr>
        <w:t xml:space="preserve">simply pairs each input sentence with an output sentence, will contain 100 theorems, </w:t>
      </w:r>
      <w:r>
        <w:rPr>
          <w:szCs w:val="24"/>
        </w:rPr>
        <w:t xml:space="preserve">one for each possible object-language sentence, </w:t>
      </w:r>
      <w:r w:rsidR="005B2673">
        <w:rPr>
          <w:szCs w:val="24"/>
        </w:rPr>
        <w:t xml:space="preserve">whereas a theory of meaning will have just 20 axioms, one for each name and each predicate, plus a single compositional rule. In the general case, a translation manual, which insists on specifying the meanings of input sentences separately, would have to be infinitely long, whereas a systematic theory of meaning would be able to provide the resources to </w:t>
      </w:r>
      <w:r w:rsidR="005B2673">
        <w:rPr>
          <w:i/>
          <w:szCs w:val="24"/>
        </w:rPr>
        <w:t>derive</w:t>
      </w:r>
      <w:r w:rsidR="005B2673">
        <w:rPr>
          <w:szCs w:val="24"/>
        </w:rPr>
        <w:t xml:space="preserve"> </w:t>
      </w:r>
      <w:proofErr w:type="gramStart"/>
      <w:r w:rsidR="005B2673">
        <w:rPr>
          <w:szCs w:val="24"/>
        </w:rPr>
        <w:t>an infinity</w:t>
      </w:r>
      <w:proofErr w:type="gramEnd"/>
      <w:r w:rsidR="005B2673">
        <w:rPr>
          <w:szCs w:val="24"/>
        </w:rPr>
        <w:t xml:space="preserve"> of meaning-specifications on the basis of a </w:t>
      </w:r>
      <w:r w:rsidR="005B2673">
        <w:rPr>
          <w:i/>
          <w:szCs w:val="24"/>
        </w:rPr>
        <w:t>finite</w:t>
      </w:r>
      <w:r w:rsidR="005B2673">
        <w:rPr>
          <w:szCs w:val="24"/>
        </w:rPr>
        <w:t xml:space="preserve"> structure.</w:t>
      </w:r>
    </w:p>
    <w:p w:rsidR="005B2673" w:rsidRDefault="005B2673" w:rsidP="008F661F">
      <w:pPr>
        <w:jc w:val="both"/>
        <w:rPr>
          <w:szCs w:val="24"/>
        </w:rPr>
      </w:pPr>
    </w:p>
    <w:p w:rsidR="005B2673" w:rsidRDefault="005B2673" w:rsidP="008F661F">
      <w:pPr>
        <w:jc w:val="both"/>
        <w:rPr>
          <w:szCs w:val="24"/>
        </w:rPr>
      </w:pPr>
      <w:r>
        <w:rPr>
          <w:szCs w:val="24"/>
        </w:rPr>
        <w:t xml:space="preserve">I am suggesting that the </w:t>
      </w:r>
      <w:r>
        <w:rPr>
          <w:i/>
          <w:szCs w:val="24"/>
        </w:rPr>
        <w:t>unboundedness</w:t>
      </w:r>
      <w:r>
        <w:rPr>
          <w:szCs w:val="24"/>
        </w:rPr>
        <w:t xml:space="preserve"> of language plays a role in justifying a preference for systematic theories of meaning over translation manuals. The idea here is that if we are to model speakers’ ability, on the basis of a finite training, to form and understand a potential infinity of new sentences, we need to represent that ability in a finitely specifiable structure which permits the derivation of the meanings of an infinity of sentences (rather than trying to specify their meanings one by one). </w:t>
      </w:r>
    </w:p>
    <w:p w:rsidR="005B2673" w:rsidRDefault="005B2673" w:rsidP="008F661F">
      <w:pPr>
        <w:jc w:val="both"/>
        <w:rPr>
          <w:szCs w:val="24"/>
        </w:rPr>
      </w:pPr>
    </w:p>
    <w:p w:rsidR="005B2673" w:rsidRDefault="005B2673" w:rsidP="008F661F">
      <w:pPr>
        <w:jc w:val="both"/>
        <w:rPr>
          <w:szCs w:val="24"/>
        </w:rPr>
      </w:pPr>
      <w:r>
        <w:rPr>
          <w:szCs w:val="24"/>
        </w:rPr>
        <w:t>Gareth Evans, from whose paper ‘Semantic Theory and Tacit Knowledge’</w:t>
      </w:r>
      <w:bookmarkStart w:id="0" w:name="_GoBack"/>
      <w:bookmarkEnd w:id="0"/>
      <w:r>
        <w:rPr>
          <w:szCs w:val="24"/>
        </w:rPr>
        <w:t xml:space="preserve"> I have drawn some of the above materials in my presentation of the attractions of a systematic theory of meaning, rejects the suggestion that creative language use is essentially connected with the unboundedness of natural languages. In that article he argues that even finite languages may impose on the semanticist a requirement to discern in them significant structure. But this contention seems to me incorrect. It depends on Evans’s view that the semanticist’s project of modelling linguistic competence is ultimately the same as, or at least continuous with, the neurophysiologist’s project of uncovering causal structures underlying that competence. On that view, empirical evidence concerning the precise way in which speakers acquire (and lose) linguistic capacities will impose constraints on the correct way to model their understanding in a formal theory, and these constraints are likely to be such, so Evans claims, that the theorist is required to discern semantic structure even in a finite language. But</w:t>
      </w:r>
      <w:r w:rsidR="00AE23EF">
        <w:rPr>
          <w:szCs w:val="24"/>
        </w:rPr>
        <w:t xml:space="preserve"> that is a hostage to fortune. For</w:t>
      </w:r>
      <w:r>
        <w:rPr>
          <w:szCs w:val="24"/>
        </w:rPr>
        <w:t>, by the same token, Evans cannot rule out in advance the possibility that the opera</w:t>
      </w:r>
      <w:r w:rsidR="00AE23EF">
        <w:rPr>
          <w:szCs w:val="24"/>
        </w:rPr>
        <w:t>tion of the same constraints might</w:t>
      </w:r>
      <w:r>
        <w:rPr>
          <w:szCs w:val="24"/>
        </w:rPr>
        <w:t xml:space="preserve"> actually prohibit the theorist from discerning structure, even in an infinitistic language, let alone a finite one. That surely indicates that something has gone wrong, for we know that natural languages </w:t>
      </w:r>
      <w:r w:rsidR="00AE23EF">
        <w:rPr>
          <w:szCs w:val="24"/>
        </w:rPr>
        <w:t xml:space="preserve">like English </w:t>
      </w:r>
      <w:r>
        <w:rPr>
          <w:i/>
          <w:szCs w:val="24"/>
        </w:rPr>
        <w:t>are</w:t>
      </w:r>
      <w:r>
        <w:rPr>
          <w:szCs w:val="24"/>
        </w:rPr>
        <w:t xml:space="preserve"> </w:t>
      </w:r>
      <w:r w:rsidR="00AE23EF">
        <w:rPr>
          <w:szCs w:val="24"/>
        </w:rPr>
        <w:t xml:space="preserve">infinitistic and so must be </w:t>
      </w:r>
      <w:r>
        <w:rPr>
          <w:szCs w:val="24"/>
        </w:rPr>
        <w:t>structured</w:t>
      </w:r>
      <w:r w:rsidR="00AE23EF">
        <w:rPr>
          <w:szCs w:val="24"/>
        </w:rPr>
        <w:t xml:space="preserve"> if they are to be comprehensible to and usable by finite beings like ourselves. Evans has wrongly conflated two quite distinct projects – giving a philosophical account of what linguistic competence consists in, on the one hand, and giving a physiological account of the causal structures underlying linguistic capacity on the other –</w:t>
      </w:r>
      <w:r>
        <w:rPr>
          <w:szCs w:val="24"/>
        </w:rPr>
        <w:t xml:space="preserve"> </w:t>
      </w:r>
      <w:r w:rsidR="00AE23EF">
        <w:rPr>
          <w:szCs w:val="24"/>
        </w:rPr>
        <w:t>and if we insist on keeping these projects</w:t>
      </w:r>
      <w:r>
        <w:rPr>
          <w:szCs w:val="24"/>
        </w:rPr>
        <w:t xml:space="preserve"> apart the infinitistic nature of natural languages, which is an artefact of their recursiveness, will be seen to be crucial in generating a requirement on the theorist to discern structure in them.</w:t>
      </w:r>
      <w:r>
        <w:rPr>
          <w:rStyle w:val="FootnoteReference"/>
          <w:szCs w:val="24"/>
        </w:rPr>
        <w:footnoteReference w:id="4"/>
      </w:r>
      <w:r w:rsidR="00AE23EF">
        <w:rPr>
          <w:szCs w:val="24"/>
        </w:rPr>
        <w:t xml:space="preserve"> T</w:t>
      </w:r>
      <w:r>
        <w:rPr>
          <w:szCs w:val="24"/>
        </w:rPr>
        <w:t xml:space="preserve">he </w:t>
      </w:r>
      <w:r w:rsidR="00AE23EF">
        <w:rPr>
          <w:szCs w:val="24"/>
        </w:rPr>
        <w:t xml:space="preserve">philosophical </w:t>
      </w:r>
      <w:r>
        <w:rPr>
          <w:szCs w:val="24"/>
        </w:rPr>
        <w:t xml:space="preserve">project is to </w:t>
      </w:r>
      <w:r>
        <w:rPr>
          <w:i/>
          <w:szCs w:val="24"/>
        </w:rPr>
        <w:t>model</w:t>
      </w:r>
      <w:r>
        <w:rPr>
          <w:szCs w:val="24"/>
        </w:rPr>
        <w:t xml:space="preserve"> linguistic understanding, not to </w:t>
      </w:r>
      <w:r w:rsidR="00AE23EF">
        <w:rPr>
          <w:szCs w:val="24"/>
        </w:rPr>
        <w:t xml:space="preserve">give an </w:t>
      </w:r>
      <w:r w:rsidR="00AE23EF" w:rsidRPr="00AE23EF">
        <w:rPr>
          <w:i/>
          <w:szCs w:val="24"/>
        </w:rPr>
        <w:t xml:space="preserve">empirical explanation </w:t>
      </w:r>
      <w:r w:rsidR="00AE23EF">
        <w:rPr>
          <w:szCs w:val="24"/>
        </w:rPr>
        <w:t>of the phenomenon of language use.</w:t>
      </w:r>
    </w:p>
    <w:p w:rsidR="005B2673" w:rsidRDefault="005B2673" w:rsidP="008F661F">
      <w:pPr>
        <w:jc w:val="both"/>
        <w:rPr>
          <w:szCs w:val="24"/>
        </w:rPr>
      </w:pPr>
    </w:p>
    <w:p w:rsidR="005B2673" w:rsidRDefault="005B2673" w:rsidP="008F661F">
      <w:pPr>
        <w:jc w:val="both"/>
        <w:rPr>
          <w:szCs w:val="24"/>
        </w:rPr>
      </w:pPr>
      <w:r>
        <w:rPr>
          <w:szCs w:val="24"/>
        </w:rPr>
        <w:t>Richard Gaskin</w:t>
      </w:r>
      <w:r w:rsidR="00C32380">
        <w:rPr>
          <w:szCs w:val="24"/>
        </w:rPr>
        <w:t xml:space="preserve">, </w:t>
      </w:r>
      <w:r w:rsidR="0030541D">
        <w:rPr>
          <w:szCs w:val="24"/>
        </w:rPr>
        <w:t>11.10.20</w:t>
      </w:r>
    </w:p>
    <w:sectPr w:rsidR="005B2673" w:rsidSect="00B36657">
      <w:footerReference w:type="even" r:id="rId8"/>
      <w:footerReference w:type="default" r:id="rId9"/>
      <w:pgSz w:w="11906" w:h="16838"/>
      <w:pgMar w:top="1134" w:right="1797" w:bottom="1418" w:left="179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6A26" w:rsidRDefault="001A6A26">
      <w:r>
        <w:separator/>
      </w:r>
    </w:p>
  </w:endnote>
  <w:endnote w:type="continuationSeparator" w:id="0">
    <w:p w:rsidR="001A6A26" w:rsidRDefault="001A6A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6C56" w:rsidRDefault="00830E8D">
    <w:pPr>
      <w:pStyle w:val="Footer"/>
      <w:framePr w:wrap="around" w:vAnchor="text" w:hAnchor="margin" w:xAlign="center" w:y="1"/>
      <w:rPr>
        <w:rStyle w:val="PageNumber"/>
      </w:rPr>
    </w:pPr>
    <w:r>
      <w:rPr>
        <w:rStyle w:val="PageNumber"/>
      </w:rPr>
      <w:fldChar w:fldCharType="begin"/>
    </w:r>
    <w:r w:rsidR="00F16C56">
      <w:rPr>
        <w:rStyle w:val="PageNumber"/>
      </w:rPr>
      <w:instrText xml:space="preserve">PAGE  </w:instrText>
    </w:r>
    <w:r>
      <w:rPr>
        <w:rStyle w:val="PageNumber"/>
      </w:rPr>
      <w:fldChar w:fldCharType="end"/>
    </w:r>
  </w:p>
  <w:p w:rsidR="00F16C56" w:rsidRDefault="00F16C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6C56" w:rsidRDefault="00830E8D">
    <w:pPr>
      <w:pStyle w:val="Footer"/>
      <w:framePr w:wrap="around" w:vAnchor="text" w:hAnchor="margin" w:xAlign="center" w:y="1"/>
      <w:rPr>
        <w:rStyle w:val="PageNumber"/>
      </w:rPr>
    </w:pPr>
    <w:r>
      <w:rPr>
        <w:rStyle w:val="PageNumber"/>
      </w:rPr>
      <w:fldChar w:fldCharType="begin"/>
    </w:r>
    <w:r w:rsidR="00F16C56">
      <w:rPr>
        <w:rStyle w:val="PageNumber"/>
      </w:rPr>
      <w:instrText xml:space="preserve">PAGE  </w:instrText>
    </w:r>
    <w:r>
      <w:rPr>
        <w:rStyle w:val="PageNumber"/>
      </w:rPr>
      <w:fldChar w:fldCharType="separate"/>
    </w:r>
    <w:r w:rsidR="0030541D">
      <w:rPr>
        <w:rStyle w:val="PageNumber"/>
        <w:noProof/>
      </w:rPr>
      <w:t>4</w:t>
    </w:r>
    <w:r>
      <w:rPr>
        <w:rStyle w:val="PageNumber"/>
      </w:rPr>
      <w:fldChar w:fldCharType="end"/>
    </w:r>
  </w:p>
  <w:p w:rsidR="00F16C56" w:rsidRDefault="00F16C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6A26" w:rsidRDefault="001A6A26">
      <w:r>
        <w:separator/>
      </w:r>
    </w:p>
  </w:footnote>
  <w:footnote w:type="continuationSeparator" w:id="0">
    <w:p w:rsidR="001A6A26" w:rsidRDefault="001A6A26">
      <w:r>
        <w:continuationSeparator/>
      </w:r>
    </w:p>
  </w:footnote>
  <w:footnote w:id="1">
    <w:p w:rsidR="00FC5D00" w:rsidRDefault="00FC5D00" w:rsidP="00FC5D00">
      <w:pPr>
        <w:pStyle w:val="FootnoteText"/>
        <w:rPr>
          <w:sz w:val="22"/>
          <w:szCs w:val="22"/>
        </w:rPr>
      </w:pPr>
      <w:r>
        <w:rPr>
          <w:rStyle w:val="FootnoteReference"/>
        </w:rPr>
        <w:footnoteRef/>
      </w:r>
      <w:r>
        <w:t xml:space="preserve"> </w:t>
      </w:r>
      <w:proofErr w:type="gramStart"/>
      <w:r w:rsidRPr="006F116D">
        <w:rPr>
          <w:sz w:val="22"/>
          <w:szCs w:val="22"/>
        </w:rPr>
        <w:t xml:space="preserve">Cf. Davidson </w:t>
      </w:r>
      <w:r w:rsidRPr="006F116D">
        <w:rPr>
          <w:i/>
          <w:sz w:val="22"/>
          <w:szCs w:val="22"/>
        </w:rPr>
        <w:t>Inquiries in Truth and Interpretation</w:t>
      </w:r>
      <w:r w:rsidRPr="006F116D">
        <w:rPr>
          <w:sz w:val="22"/>
          <w:szCs w:val="22"/>
        </w:rPr>
        <w:t>, pp. 8–9, 127–28, 141</w:t>
      </w:r>
      <w:r w:rsidR="0030541D">
        <w:rPr>
          <w:sz w:val="22"/>
          <w:szCs w:val="22"/>
        </w:rPr>
        <w:t>.</w:t>
      </w:r>
      <w:proofErr w:type="gramEnd"/>
    </w:p>
  </w:footnote>
  <w:footnote w:id="2">
    <w:p w:rsidR="00F16C56" w:rsidRDefault="00F16C56" w:rsidP="005E65F7">
      <w:pPr>
        <w:pStyle w:val="FootnoteText"/>
        <w:rPr>
          <w:sz w:val="22"/>
          <w:szCs w:val="22"/>
        </w:rPr>
      </w:pPr>
      <w:r>
        <w:rPr>
          <w:rStyle w:val="FootnoteReference"/>
        </w:rPr>
        <w:footnoteRef/>
      </w:r>
      <w:r>
        <w:t xml:space="preserve"> </w:t>
      </w:r>
      <w:r>
        <w:rPr>
          <w:sz w:val="22"/>
          <w:szCs w:val="22"/>
        </w:rPr>
        <w:t>See on this point Davidson’s ‘Radical Interpretation’.</w:t>
      </w:r>
    </w:p>
  </w:footnote>
  <w:footnote w:id="3">
    <w:p w:rsidR="00F16C56" w:rsidRDefault="00F16C56" w:rsidP="005E65F7">
      <w:pPr>
        <w:pStyle w:val="FootnoteText"/>
        <w:rPr>
          <w:sz w:val="22"/>
          <w:szCs w:val="22"/>
        </w:rPr>
      </w:pPr>
      <w:r>
        <w:rPr>
          <w:rStyle w:val="FootnoteReference"/>
        </w:rPr>
        <w:footnoteRef/>
      </w:r>
      <w:r>
        <w:t xml:space="preserve"> </w:t>
      </w:r>
      <w:r>
        <w:rPr>
          <w:sz w:val="22"/>
          <w:szCs w:val="22"/>
        </w:rPr>
        <w:t>On some problems associated with the idea of tacit knowledge of a theory of meaning, see the article of Miller’s (‘Tacit Knowledge’) mentioned on the Reading List.</w:t>
      </w:r>
    </w:p>
  </w:footnote>
  <w:footnote w:id="4">
    <w:p w:rsidR="00F16C56" w:rsidRDefault="00F16C56" w:rsidP="005E65F7">
      <w:pPr>
        <w:pStyle w:val="FootnoteText"/>
        <w:rPr>
          <w:sz w:val="22"/>
          <w:szCs w:val="22"/>
        </w:rPr>
      </w:pPr>
      <w:r>
        <w:rPr>
          <w:rStyle w:val="FootnoteReference"/>
        </w:rPr>
        <w:footnoteRef/>
      </w:r>
      <w:r>
        <w:t xml:space="preserve"> </w:t>
      </w:r>
      <w:r>
        <w:rPr>
          <w:sz w:val="22"/>
          <w:szCs w:val="22"/>
        </w:rPr>
        <w:t xml:space="preserve">See here Davidson, ‘The Method of Truth in Metaphysics’, in </w:t>
      </w:r>
      <w:r>
        <w:rPr>
          <w:i/>
          <w:sz w:val="22"/>
          <w:szCs w:val="22"/>
        </w:rPr>
        <w:t>Midwest Studies in Philosophy 2</w:t>
      </w:r>
      <w:r>
        <w:rPr>
          <w:sz w:val="22"/>
          <w:szCs w:val="22"/>
        </w:rPr>
        <w:t xml:space="preserve">, 1977, and in his </w:t>
      </w:r>
      <w:r>
        <w:rPr>
          <w:i/>
          <w:sz w:val="22"/>
          <w:szCs w:val="22"/>
        </w:rPr>
        <w:t>Inquiries in Truth and Interpretation</w:t>
      </w:r>
      <w:r>
        <w:rPr>
          <w:sz w:val="22"/>
          <w:szCs w:val="22"/>
        </w:rPr>
        <w:t xml:space="preserve"> (see Reading List).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06A49"/>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116D"/>
    <w:rsid w:val="00075A56"/>
    <w:rsid w:val="000944FE"/>
    <w:rsid w:val="00106615"/>
    <w:rsid w:val="001723B7"/>
    <w:rsid w:val="001A6A26"/>
    <w:rsid w:val="002107CF"/>
    <w:rsid w:val="00232A3F"/>
    <w:rsid w:val="002E7908"/>
    <w:rsid w:val="003044DE"/>
    <w:rsid w:val="0030541D"/>
    <w:rsid w:val="003E4754"/>
    <w:rsid w:val="005453A0"/>
    <w:rsid w:val="005B2673"/>
    <w:rsid w:val="005C57C0"/>
    <w:rsid w:val="005E53E4"/>
    <w:rsid w:val="005E65F7"/>
    <w:rsid w:val="00670DBE"/>
    <w:rsid w:val="006F116D"/>
    <w:rsid w:val="006F7665"/>
    <w:rsid w:val="007372A5"/>
    <w:rsid w:val="0080236B"/>
    <w:rsid w:val="00830E8D"/>
    <w:rsid w:val="00863A5B"/>
    <w:rsid w:val="008E7C82"/>
    <w:rsid w:val="008F0494"/>
    <w:rsid w:val="008F661F"/>
    <w:rsid w:val="00910113"/>
    <w:rsid w:val="00912B3B"/>
    <w:rsid w:val="00986396"/>
    <w:rsid w:val="00A37A04"/>
    <w:rsid w:val="00A65C88"/>
    <w:rsid w:val="00A906D2"/>
    <w:rsid w:val="00AE23EF"/>
    <w:rsid w:val="00AF1B08"/>
    <w:rsid w:val="00AF2011"/>
    <w:rsid w:val="00B36657"/>
    <w:rsid w:val="00B86171"/>
    <w:rsid w:val="00BC78C2"/>
    <w:rsid w:val="00C17A67"/>
    <w:rsid w:val="00C32380"/>
    <w:rsid w:val="00CE02BE"/>
    <w:rsid w:val="00CF6FDA"/>
    <w:rsid w:val="00D027BF"/>
    <w:rsid w:val="00DD67EF"/>
    <w:rsid w:val="00EC6FA9"/>
    <w:rsid w:val="00F16C56"/>
    <w:rsid w:val="00F2200F"/>
    <w:rsid w:val="00FC5D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2">
    <w:name w:val="heading 2"/>
    <w:basedOn w:val="Normal"/>
    <w:next w:val="Normal"/>
    <w:qFormat/>
    <w:pPr>
      <w:keepNext/>
      <w:outlineLvl w:val="1"/>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3">
    <w:name w:val="Style3"/>
    <w:basedOn w:val="FootnoteText"/>
    <w:rPr>
      <w:sz w:val="22"/>
    </w:rPr>
  </w:style>
  <w:style w:type="paragraph" w:styleId="FootnoteText">
    <w:name w:val="footnote text"/>
    <w:basedOn w:val="Normal"/>
    <w:link w:val="FootnoteTextChar"/>
    <w:semiHidden/>
    <w:rPr>
      <w:sz w:val="20"/>
    </w:rPr>
  </w:style>
  <w:style w:type="paragraph" w:customStyle="1" w:styleId="Style4">
    <w:name w:val="Style4"/>
    <w:basedOn w:val="FootnoteText"/>
    <w:autoRedefine/>
    <w:rPr>
      <w:sz w:val="22"/>
    </w:rPr>
  </w:style>
  <w:style w:type="paragraph" w:customStyle="1" w:styleId="Style5">
    <w:name w:val="Style5"/>
    <w:basedOn w:val="FootnoteText"/>
    <w:next w:val="Normal"/>
    <w:autoRedefine/>
    <w:rPr>
      <w:sz w:val="22"/>
    </w:rPr>
  </w:style>
  <w:style w:type="character" w:styleId="FootnoteReference">
    <w:name w:val="footnote reference"/>
    <w:basedOn w:val="DefaultParagraphFont"/>
    <w:semiHidden/>
    <w:rPr>
      <w:vertAlign w:val="superscript"/>
    </w:rPr>
  </w:style>
  <w:style w:type="paragraph" w:styleId="Footer">
    <w:name w:val="footer"/>
    <w:basedOn w:val="Normal"/>
    <w:pPr>
      <w:tabs>
        <w:tab w:val="center" w:pos="4153"/>
        <w:tab w:val="right" w:pos="8306"/>
      </w:tabs>
    </w:pPr>
  </w:style>
  <w:style w:type="character" w:styleId="PageNumber">
    <w:name w:val="page number"/>
    <w:basedOn w:val="DefaultParagraphFont"/>
  </w:style>
  <w:style w:type="character" w:customStyle="1" w:styleId="FootnoteTextChar">
    <w:name w:val="Footnote Text Char"/>
    <w:basedOn w:val="DefaultParagraphFont"/>
    <w:link w:val="FootnoteText"/>
    <w:semiHidden/>
    <w:rsid w:val="00C17A67"/>
    <w:rPr>
      <w:lang w:eastAsia="en-US"/>
    </w:rPr>
  </w:style>
  <w:style w:type="paragraph" w:styleId="BalloonText">
    <w:name w:val="Balloon Text"/>
    <w:basedOn w:val="Normal"/>
    <w:link w:val="BalloonTextChar"/>
    <w:uiPriority w:val="99"/>
    <w:semiHidden/>
    <w:unhideWhenUsed/>
    <w:rsid w:val="00863A5B"/>
    <w:rPr>
      <w:rFonts w:ascii="Tahoma" w:hAnsi="Tahoma" w:cs="Tahoma"/>
      <w:sz w:val="16"/>
      <w:szCs w:val="16"/>
    </w:rPr>
  </w:style>
  <w:style w:type="character" w:customStyle="1" w:styleId="BalloonTextChar">
    <w:name w:val="Balloon Text Char"/>
    <w:basedOn w:val="DefaultParagraphFont"/>
    <w:link w:val="BalloonText"/>
    <w:uiPriority w:val="99"/>
    <w:semiHidden/>
    <w:rsid w:val="00863A5B"/>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2">
    <w:name w:val="heading 2"/>
    <w:basedOn w:val="Normal"/>
    <w:next w:val="Normal"/>
    <w:qFormat/>
    <w:pPr>
      <w:keepNext/>
      <w:outlineLvl w:val="1"/>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3">
    <w:name w:val="Style3"/>
    <w:basedOn w:val="FootnoteText"/>
    <w:rPr>
      <w:sz w:val="22"/>
    </w:rPr>
  </w:style>
  <w:style w:type="paragraph" w:styleId="FootnoteText">
    <w:name w:val="footnote text"/>
    <w:basedOn w:val="Normal"/>
    <w:link w:val="FootnoteTextChar"/>
    <w:semiHidden/>
    <w:rPr>
      <w:sz w:val="20"/>
    </w:rPr>
  </w:style>
  <w:style w:type="paragraph" w:customStyle="1" w:styleId="Style4">
    <w:name w:val="Style4"/>
    <w:basedOn w:val="FootnoteText"/>
    <w:autoRedefine/>
    <w:rPr>
      <w:sz w:val="22"/>
    </w:rPr>
  </w:style>
  <w:style w:type="paragraph" w:customStyle="1" w:styleId="Style5">
    <w:name w:val="Style5"/>
    <w:basedOn w:val="FootnoteText"/>
    <w:next w:val="Normal"/>
    <w:autoRedefine/>
    <w:rPr>
      <w:sz w:val="22"/>
    </w:rPr>
  </w:style>
  <w:style w:type="character" w:styleId="FootnoteReference">
    <w:name w:val="footnote reference"/>
    <w:basedOn w:val="DefaultParagraphFont"/>
    <w:semiHidden/>
    <w:rPr>
      <w:vertAlign w:val="superscript"/>
    </w:rPr>
  </w:style>
  <w:style w:type="paragraph" w:styleId="Footer">
    <w:name w:val="footer"/>
    <w:basedOn w:val="Normal"/>
    <w:pPr>
      <w:tabs>
        <w:tab w:val="center" w:pos="4153"/>
        <w:tab w:val="right" w:pos="8306"/>
      </w:tabs>
    </w:pPr>
  </w:style>
  <w:style w:type="character" w:styleId="PageNumber">
    <w:name w:val="page number"/>
    <w:basedOn w:val="DefaultParagraphFont"/>
  </w:style>
  <w:style w:type="character" w:customStyle="1" w:styleId="FootnoteTextChar">
    <w:name w:val="Footnote Text Char"/>
    <w:basedOn w:val="DefaultParagraphFont"/>
    <w:link w:val="FootnoteText"/>
    <w:semiHidden/>
    <w:rsid w:val="00C17A67"/>
    <w:rPr>
      <w:lang w:eastAsia="en-US"/>
    </w:rPr>
  </w:style>
  <w:style w:type="paragraph" w:styleId="BalloonText">
    <w:name w:val="Balloon Text"/>
    <w:basedOn w:val="Normal"/>
    <w:link w:val="BalloonTextChar"/>
    <w:uiPriority w:val="99"/>
    <w:semiHidden/>
    <w:unhideWhenUsed/>
    <w:rsid w:val="00863A5B"/>
    <w:rPr>
      <w:rFonts w:ascii="Tahoma" w:hAnsi="Tahoma" w:cs="Tahoma"/>
      <w:sz w:val="16"/>
      <w:szCs w:val="16"/>
    </w:rPr>
  </w:style>
  <w:style w:type="character" w:customStyle="1" w:styleId="BalloonTextChar">
    <w:name w:val="Balloon Text Char"/>
    <w:basedOn w:val="DefaultParagraphFont"/>
    <w:link w:val="BalloonText"/>
    <w:uiPriority w:val="99"/>
    <w:semiHidden/>
    <w:rsid w:val="00863A5B"/>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1864</Words>
  <Characters>9397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Philosophy of Language 2005</vt:lpstr>
    </vt:vector>
  </TitlesOfParts>
  <Company/>
  <LinksUpToDate>false</LinksUpToDate>
  <CharactersWithSpaces>11239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Philosophy of Language 2005</dc:title>
  <dc:creator>Richard Gaskin</dc:creator>
  <cp:lastModifiedBy>PC-USER</cp:lastModifiedBy>
  <cp:revision>2</cp:revision>
  <cp:lastPrinted>2019-09-22T21:57:00Z</cp:lastPrinted>
  <dcterms:created xsi:type="dcterms:W3CDTF">2020-10-11T15:42:00Z</dcterms:created>
  <dcterms:modified xsi:type="dcterms:W3CDTF">2020-10-11T15:42:00Z</dcterms:modified>
</cp:coreProperties>
</file>